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60" w:rsidRPr="0078591B" w:rsidRDefault="00860E60">
      <w:pPr>
        <w:rPr>
          <w:b/>
          <w:bCs/>
          <w:iCs/>
          <w:sz w:val="24"/>
          <w:szCs w:val="16"/>
          <w:bdr w:val="none" w:sz="0" w:space="0" w:color="auto" w:frame="1"/>
        </w:rPr>
      </w:pPr>
      <w:r w:rsidRPr="0078591B">
        <w:rPr>
          <w:b/>
          <w:bCs/>
          <w:iCs/>
          <w:sz w:val="24"/>
          <w:szCs w:val="16"/>
          <w:bdr w:val="none" w:sz="0" w:space="0" w:color="auto" w:frame="1"/>
        </w:rPr>
        <w:t>La FICM et les deux grandes injustices : le point sur les dossiers européens</w:t>
      </w:r>
    </w:p>
    <w:p w:rsidR="00EA242D" w:rsidRPr="0078591B" w:rsidRDefault="00860E60" w:rsidP="0078591B">
      <w:pPr>
        <w:spacing w:after="0" w:line="240" w:lineRule="auto"/>
        <w:jc w:val="both"/>
        <w:rPr>
          <w:bCs/>
          <w:iCs/>
          <w:sz w:val="20"/>
          <w:szCs w:val="20"/>
          <w:bdr w:val="none" w:sz="0" w:space="0" w:color="auto" w:frame="1"/>
        </w:rPr>
      </w:pPr>
      <w:r w:rsidRPr="0078591B">
        <w:rPr>
          <w:bCs/>
          <w:iCs/>
          <w:sz w:val="20"/>
          <w:szCs w:val="20"/>
          <w:bdr w:val="none" w:sz="0" w:space="0" w:color="auto" w:frame="1"/>
        </w:rPr>
        <w:t>A l’occasion de l’Assemblée Générale de la FFACCC qui se tenait à Autun, la FICM présentait le 7 novembre dernier son rapport sur les négociations en cours en matière de réglementations européennes pour les camping-cars.</w:t>
      </w:r>
      <w:r w:rsidR="00973FAD" w:rsidRPr="0078591B">
        <w:rPr>
          <w:bCs/>
          <w:iCs/>
          <w:sz w:val="20"/>
          <w:szCs w:val="20"/>
          <w:bdr w:val="none" w:sz="0" w:space="0" w:color="auto" w:frame="1"/>
        </w:rPr>
        <w:t xml:space="preserve"> Celles-ci sont entrées dans une nouvelle phase.</w:t>
      </w:r>
    </w:p>
    <w:p w:rsidR="00AC497C" w:rsidRPr="0078591B" w:rsidRDefault="00860E60" w:rsidP="0078591B">
      <w:pPr>
        <w:spacing w:after="0" w:line="240" w:lineRule="auto"/>
        <w:jc w:val="both"/>
        <w:rPr>
          <w:bCs/>
          <w:iCs/>
          <w:sz w:val="20"/>
          <w:szCs w:val="20"/>
          <w:bdr w:val="none" w:sz="0" w:space="0" w:color="auto" w:frame="1"/>
        </w:rPr>
      </w:pPr>
      <w:r w:rsidRPr="0078591B">
        <w:rPr>
          <w:bCs/>
          <w:iCs/>
          <w:sz w:val="20"/>
          <w:szCs w:val="20"/>
          <w:bdr w:val="none" w:sz="0" w:space="0" w:color="auto" w:frame="1"/>
        </w:rPr>
        <w:t xml:space="preserve">Pour rappel, deux grandes injustices </w:t>
      </w:r>
      <w:r w:rsidR="00AC497C" w:rsidRPr="0078591B">
        <w:rPr>
          <w:bCs/>
          <w:iCs/>
          <w:sz w:val="20"/>
          <w:szCs w:val="20"/>
          <w:bdr w:val="none" w:sz="0" w:space="0" w:color="auto" w:frame="1"/>
        </w:rPr>
        <w:t xml:space="preserve">affectent la vie du camping-cariste européen : </w:t>
      </w:r>
    </w:p>
    <w:p w:rsidR="00AC497C" w:rsidRPr="0078591B" w:rsidRDefault="00AC497C" w:rsidP="0078591B">
      <w:pPr>
        <w:pStyle w:val="Paragraphedeliste"/>
        <w:numPr>
          <w:ilvl w:val="0"/>
          <w:numId w:val="1"/>
        </w:numPr>
        <w:spacing w:after="0" w:line="240" w:lineRule="auto"/>
        <w:jc w:val="both"/>
        <w:rPr>
          <w:bCs/>
          <w:iCs/>
          <w:sz w:val="20"/>
          <w:szCs w:val="20"/>
          <w:bdr w:val="none" w:sz="0" w:space="0" w:color="auto" w:frame="1"/>
        </w:rPr>
      </w:pPr>
      <w:r w:rsidRPr="0078591B">
        <w:rPr>
          <w:bCs/>
          <w:iCs/>
          <w:sz w:val="20"/>
          <w:szCs w:val="20"/>
          <w:bdr w:val="none" w:sz="0" w:space="0" w:color="auto" w:frame="1"/>
        </w:rPr>
        <w:t xml:space="preserve">Le plafonnement du Permis B à 3.5T a pour conséquence que 85% des </w:t>
      </w:r>
      <w:r w:rsidR="00CD37B8" w:rsidRPr="0078591B">
        <w:rPr>
          <w:bCs/>
          <w:iCs/>
          <w:sz w:val="20"/>
          <w:szCs w:val="20"/>
          <w:bdr w:val="none" w:sz="0" w:space="0" w:color="auto" w:frame="1"/>
        </w:rPr>
        <w:t xml:space="preserve">2.5 millions de </w:t>
      </w:r>
      <w:r w:rsidRPr="0078591B">
        <w:rPr>
          <w:bCs/>
          <w:iCs/>
          <w:sz w:val="20"/>
          <w:szCs w:val="20"/>
          <w:bdr w:val="none" w:sz="0" w:space="0" w:color="auto" w:frame="1"/>
        </w:rPr>
        <w:t>camping-cars qui circulent sur nos routes risquent surcharge et pénalités</w:t>
      </w:r>
      <w:r w:rsidR="00CD37B8" w:rsidRPr="0078591B">
        <w:rPr>
          <w:bCs/>
          <w:iCs/>
          <w:sz w:val="20"/>
          <w:szCs w:val="20"/>
          <w:bdr w:val="none" w:sz="0" w:space="0" w:color="auto" w:frame="1"/>
        </w:rPr>
        <w:t xml:space="preserve"> vexatoires.</w:t>
      </w:r>
    </w:p>
    <w:p w:rsidR="00922B36" w:rsidRDefault="00AC497C" w:rsidP="0078591B">
      <w:pPr>
        <w:pStyle w:val="Paragraphedeliste"/>
        <w:numPr>
          <w:ilvl w:val="0"/>
          <w:numId w:val="1"/>
        </w:numPr>
        <w:spacing w:after="0" w:line="240" w:lineRule="auto"/>
        <w:jc w:val="both"/>
        <w:rPr>
          <w:bCs/>
          <w:iCs/>
          <w:sz w:val="20"/>
          <w:szCs w:val="20"/>
          <w:bdr w:val="none" w:sz="0" w:space="0" w:color="auto" w:frame="1"/>
        </w:rPr>
      </w:pPr>
      <w:r w:rsidRPr="0078591B">
        <w:rPr>
          <w:bCs/>
          <w:iCs/>
          <w:sz w:val="20"/>
          <w:szCs w:val="20"/>
          <w:bdr w:val="none" w:sz="0" w:space="0" w:color="auto" w:frame="1"/>
        </w:rPr>
        <w:t xml:space="preserve">Les mesures discriminatoires prises à l’encontre des camping-cars par certaines autorités publiques </w:t>
      </w:r>
      <w:r w:rsidR="00922B36" w:rsidRPr="0078591B">
        <w:rPr>
          <w:bCs/>
          <w:iCs/>
          <w:sz w:val="20"/>
          <w:szCs w:val="20"/>
          <w:bdr w:val="none" w:sz="0" w:space="0" w:color="auto" w:frame="1"/>
        </w:rPr>
        <w:t>en matière de stationnement empoisonnent la vie du camping-cariste et sont contre-productives sur le plan du développement local (commerces, services, tourisme).</w:t>
      </w:r>
      <w:r w:rsidR="00C42FA5">
        <w:rPr>
          <w:bCs/>
          <w:iCs/>
          <w:sz w:val="20"/>
          <w:szCs w:val="20"/>
          <w:bdr w:val="none" w:sz="0" w:space="0" w:color="auto" w:frame="1"/>
        </w:rPr>
        <w:t xml:space="preserve"> Plainte </w:t>
      </w:r>
      <w:r w:rsidR="00AB7BAE">
        <w:rPr>
          <w:bCs/>
          <w:iCs/>
          <w:sz w:val="20"/>
          <w:szCs w:val="20"/>
          <w:bdr w:val="none" w:sz="0" w:space="0" w:color="auto" w:frame="1"/>
        </w:rPr>
        <w:t xml:space="preserve">en cours </w:t>
      </w:r>
      <w:r w:rsidR="00C42FA5">
        <w:rPr>
          <w:bCs/>
          <w:iCs/>
          <w:sz w:val="20"/>
          <w:szCs w:val="20"/>
          <w:bdr w:val="none" w:sz="0" w:space="0" w:color="auto" w:frame="1"/>
        </w:rPr>
        <w:t>contre l’</w:t>
      </w:r>
      <w:r w:rsidR="00AB7BAE">
        <w:rPr>
          <w:bCs/>
          <w:iCs/>
          <w:sz w:val="20"/>
          <w:szCs w:val="20"/>
          <w:bdr w:val="none" w:sz="0" w:space="0" w:color="auto" w:frame="1"/>
        </w:rPr>
        <w:t>État</w:t>
      </w:r>
      <w:r w:rsidR="00C42FA5">
        <w:rPr>
          <w:bCs/>
          <w:iCs/>
          <w:sz w:val="20"/>
          <w:szCs w:val="20"/>
          <w:bdr w:val="none" w:sz="0" w:space="0" w:color="auto" w:frame="1"/>
        </w:rPr>
        <w:t xml:space="preserve"> du Portugal.</w:t>
      </w:r>
    </w:p>
    <w:p w:rsidR="0078591B" w:rsidRPr="0078591B" w:rsidRDefault="0078591B" w:rsidP="0078591B">
      <w:pPr>
        <w:pStyle w:val="Paragraphedeliste"/>
        <w:spacing w:after="0" w:line="240" w:lineRule="auto"/>
        <w:jc w:val="both"/>
        <w:rPr>
          <w:bCs/>
          <w:iCs/>
          <w:sz w:val="20"/>
          <w:szCs w:val="20"/>
          <w:bdr w:val="none" w:sz="0" w:space="0" w:color="auto" w:frame="1"/>
        </w:rPr>
      </w:pPr>
    </w:p>
    <w:p w:rsidR="00860E60" w:rsidRPr="0078591B" w:rsidRDefault="00922B36" w:rsidP="0078591B">
      <w:pPr>
        <w:spacing w:after="0" w:line="240" w:lineRule="auto"/>
        <w:jc w:val="both"/>
        <w:rPr>
          <w:bCs/>
          <w:iCs/>
          <w:sz w:val="20"/>
          <w:szCs w:val="20"/>
          <w:bdr w:val="none" w:sz="0" w:space="0" w:color="auto" w:frame="1"/>
        </w:rPr>
      </w:pPr>
      <w:r w:rsidRPr="0078591B">
        <w:rPr>
          <w:b/>
          <w:bCs/>
          <w:iCs/>
          <w:sz w:val="20"/>
          <w:szCs w:val="20"/>
          <w:bdr w:val="none" w:sz="0" w:space="0" w:color="auto" w:frame="1"/>
        </w:rPr>
        <w:t>L’avenir du Permis B</w:t>
      </w:r>
      <w:r w:rsidR="00D56C49" w:rsidRPr="0078591B">
        <w:rPr>
          <w:b/>
          <w:bCs/>
          <w:iCs/>
          <w:sz w:val="20"/>
          <w:szCs w:val="20"/>
          <w:bdr w:val="none" w:sz="0" w:space="0" w:color="auto" w:frame="1"/>
        </w:rPr>
        <w:tab/>
      </w:r>
      <w:r w:rsidR="00AC497C" w:rsidRPr="0078591B">
        <w:rPr>
          <w:b/>
          <w:bCs/>
          <w:iCs/>
          <w:sz w:val="20"/>
          <w:szCs w:val="20"/>
          <w:bdr w:val="none" w:sz="0" w:space="0" w:color="auto" w:frame="1"/>
        </w:rPr>
        <w:br/>
      </w:r>
      <w:r w:rsidR="00D56C49" w:rsidRPr="0078591B">
        <w:rPr>
          <w:bCs/>
          <w:iCs/>
          <w:sz w:val="20"/>
          <w:szCs w:val="20"/>
          <w:bdr w:val="none" w:sz="0" w:space="0" w:color="auto" w:frame="1"/>
        </w:rPr>
        <w:t>L</w:t>
      </w:r>
      <w:r w:rsidR="00C65DD1" w:rsidRPr="0078591B">
        <w:rPr>
          <w:bCs/>
          <w:iCs/>
          <w:sz w:val="20"/>
          <w:szCs w:val="20"/>
          <w:bdr w:val="none" w:sz="0" w:space="0" w:color="auto" w:frame="1"/>
        </w:rPr>
        <w:t xml:space="preserve">e PTAC autorisé pour le permis B est bloqué à 3.5T par la Directive </w:t>
      </w:r>
      <w:r w:rsidR="00D56C49" w:rsidRPr="0078591B">
        <w:rPr>
          <w:bCs/>
          <w:iCs/>
          <w:sz w:val="20"/>
          <w:szCs w:val="20"/>
          <w:bdr w:val="none" w:sz="0" w:space="0" w:color="auto" w:frame="1"/>
        </w:rPr>
        <w:t>CEE 1980/1263</w:t>
      </w:r>
      <w:r w:rsidR="00C65DD1" w:rsidRPr="0078591B">
        <w:rPr>
          <w:bCs/>
          <w:iCs/>
          <w:sz w:val="20"/>
          <w:szCs w:val="20"/>
          <w:bdr w:val="none" w:sz="0" w:space="0" w:color="auto" w:frame="1"/>
        </w:rPr>
        <w:t xml:space="preserve">, entrée en vigueur </w:t>
      </w:r>
      <w:r w:rsidR="00D56C49" w:rsidRPr="0078591B">
        <w:rPr>
          <w:bCs/>
          <w:iCs/>
          <w:sz w:val="20"/>
          <w:szCs w:val="20"/>
          <w:bdr w:val="none" w:sz="0" w:space="0" w:color="auto" w:frame="1"/>
        </w:rPr>
        <w:t xml:space="preserve">en </w:t>
      </w:r>
      <w:r w:rsidR="004A7268" w:rsidRPr="0078591B">
        <w:rPr>
          <w:bCs/>
          <w:iCs/>
          <w:sz w:val="20"/>
          <w:szCs w:val="20"/>
          <w:bdr w:val="none" w:sz="0" w:space="0" w:color="auto" w:frame="1"/>
        </w:rPr>
        <w:t xml:space="preserve">… </w:t>
      </w:r>
      <w:r w:rsidR="00D56C49" w:rsidRPr="0078591B">
        <w:rPr>
          <w:bCs/>
          <w:iCs/>
          <w:sz w:val="20"/>
          <w:szCs w:val="20"/>
          <w:bdr w:val="none" w:sz="0" w:space="0" w:color="auto" w:frame="1"/>
        </w:rPr>
        <w:t>1998. Cette norme est héritée des Conventions de Genève (1968), Vienne (1949), Paris (1926) et … du Siècle de Louis XIV (transport des blocs de marbre de Campan, pour les Tuileries et la Galerie des Glaces, à Versailles).</w:t>
      </w:r>
      <w:r w:rsidR="004A7268" w:rsidRPr="0078591B">
        <w:rPr>
          <w:bCs/>
          <w:iCs/>
          <w:sz w:val="20"/>
          <w:szCs w:val="20"/>
          <w:bdr w:val="none" w:sz="0" w:space="0" w:color="auto" w:frame="1"/>
        </w:rPr>
        <w:t xml:space="preserve"> Depuis 1998, les camping-cars livrés n’ont cessé de prendre du poids, pour des raisons de sécurité (normes européennes), de confort ou … de concurrence et la FICM demande en vain aux constructeurs une charge utile minimale de 500 kg.</w:t>
      </w:r>
    </w:p>
    <w:p w:rsidR="00CD37B8" w:rsidRPr="0078591B" w:rsidRDefault="004A7268" w:rsidP="0078591B">
      <w:pPr>
        <w:spacing w:after="0" w:line="240" w:lineRule="auto"/>
        <w:jc w:val="both"/>
        <w:rPr>
          <w:bCs/>
          <w:iCs/>
          <w:sz w:val="20"/>
          <w:szCs w:val="20"/>
          <w:bdr w:val="none" w:sz="0" w:space="0" w:color="auto" w:frame="1"/>
        </w:rPr>
      </w:pPr>
      <w:r w:rsidRPr="0078591B">
        <w:rPr>
          <w:bCs/>
          <w:iCs/>
          <w:sz w:val="20"/>
          <w:szCs w:val="20"/>
          <w:bdr w:val="none" w:sz="0" w:space="0" w:color="auto" w:frame="1"/>
        </w:rPr>
        <w:t xml:space="preserve">La FICM confirme être à la base d’une prise de position commune soumise en janvier 2021 aux grandes brigades de sapeurs-pompiers des 27 </w:t>
      </w:r>
      <w:r w:rsidR="00973FAD" w:rsidRPr="0078591B">
        <w:rPr>
          <w:bCs/>
          <w:iCs/>
          <w:sz w:val="20"/>
          <w:szCs w:val="20"/>
          <w:bdr w:val="none" w:sz="0" w:space="0" w:color="auto" w:frame="1"/>
        </w:rPr>
        <w:t>États</w:t>
      </w:r>
      <w:r w:rsidRPr="0078591B">
        <w:rPr>
          <w:bCs/>
          <w:iCs/>
          <w:sz w:val="20"/>
          <w:szCs w:val="20"/>
          <w:bdr w:val="none" w:sz="0" w:space="0" w:color="auto" w:frame="1"/>
        </w:rPr>
        <w:t xml:space="preserve"> Membres</w:t>
      </w:r>
      <w:r w:rsidR="008A025D" w:rsidRPr="0078591B">
        <w:rPr>
          <w:bCs/>
          <w:iCs/>
          <w:sz w:val="20"/>
          <w:szCs w:val="20"/>
          <w:bdr w:val="none" w:sz="0" w:space="0" w:color="auto" w:frame="1"/>
        </w:rPr>
        <w:t xml:space="preserve"> de l’Union européenne</w:t>
      </w:r>
      <w:r w:rsidRPr="0078591B">
        <w:rPr>
          <w:bCs/>
          <w:iCs/>
          <w:sz w:val="20"/>
          <w:szCs w:val="20"/>
          <w:bdr w:val="none" w:sz="0" w:space="0" w:color="auto" w:frame="1"/>
        </w:rPr>
        <w:t xml:space="preserve">, étant entendu que </w:t>
      </w:r>
      <w:r w:rsidR="00C97CDC" w:rsidRPr="0078591B">
        <w:rPr>
          <w:bCs/>
          <w:iCs/>
          <w:sz w:val="20"/>
          <w:szCs w:val="20"/>
          <w:bdr w:val="none" w:sz="0" w:space="0" w:color="auto" w:frame="1"/>
        </w:rPr>
        <w:t xml:space="preserve">la charge utile de leurs véhicules d’intervention est notoirement insuffisante pour répondre aux besoins des dizaines de milliers de volontaires qui assurent les services d’urgence sous permis B partout en Europe. Ce document a permis à la Commission de conclure qu’une révision de la Directive 2006/126/EU s’imposait. </w:t>
      </w:r>
    </w:p>
    <w:p w:rsidR="004A7268" w:rsidRPr="0078591B" w:rsidRDefault="00C97CDC" w:rsidP="0078591B">
      <w:pPr>
        <w:spacing w:after="0" w:line="240" w:lineRule="auto"/>
        <w:jc w:val="both"/>
        <w:rPr>
          <w:bCs/>
          <w:iCs/>
          <w:sz w:val="20"/>
          <w:szCs w:val="20"/>
          <w:bdr w:val="none" w:sz="0" w:space="0" w:color="auto" w:frame="1"/>
        </w:rPr>
      </w:pPr>
      <w:r w:rsidRPr="0078591B">
        <w:rPr>
          <w:bCs/>
          <w:iCs/>
          <w:sz w:val="20"/>
          <w:szCs w:val="20"/>
          <w:bdr w:val="none" w:sz="0" w:space="0" w:color="auto" w:frame="1"/>
        </w:rPr>
        <w:t xml:space="preserve">La première consultation publique de cette nouvelle phase a permis à plus de 2200 contributeurs d’expliquer </w:t>
      </w:r>
      <w:r w:rsidRPr="00916287">
        <w:rPr>
          <w:b/>
          <w:bCs/>
          <w:iCs/>
          <w:sz w:val="20"/>
          <w:szCs w:val="20"/>
          <w:bdr w:val="none" w:sz="0" w:space="0" w:color="auto" w:frame="1"/>
        </w:rPr>
        <w:t>pourquoi</w:t>
      </w:r>
      <w:r w:rsidR="008A025D" w:rsidRPr="0078591B">
        <w:rPr>
          <w:bCs/>
          <w:iCs/>
          <w:sz w:val="20"/>
          <w:szCs w:val="20"/>
          <w:bdr w:val="none" w:sz="0" w:space="0" w:color="auto" w:frame="1"/>
        </w:rPr>
        <w:t>, en tant que camping-caristes de toute</w:t>
      </w:r>
      <w:r w:rsidR="00CD37B8" w:rsidRPr="0078591B">
        <w:rPr>
          <w:bCs/>
          <w:iCs/>
          <w:sz w:val="20"/>
          <w:szCs w:val="20"/>
          <w:bdr w:val="none" w:sz="0" w:space="0" w:color="auto" w:frame="1"/>
        </w:rPr>
        <w:t>s origines</w:t>
      </w:r>
      <w:r w:rsidR="008A025D" w:rsidRPr="0078591B">
        <w:rPr>
          <w:bCs/>
          <w:iCs/>
          <w:sz w:val="20"/>
          <w:szCs w:val="20"/>
          <w:bdr w:val="none" w:sz="0" w:space="0" w:color="auto" w:frame="1"/>
        </w:rPr>
        <w:t>,</w:t>
      </w:r>
      <w:r w:rsidRPr="0078591B">
        <w:rPr>
          <w:bCs/>
          <w:iCs/>
          <w:sz w:val="20"/>
          <w:szCs w:val="20"/>
          <w:bdr w:val="none" w:sz="0" w:space="0" w:color="auto" w:frame="1"/>
        </w:rPr>
        <w:t xml:space="preserve"> ils souhaitaient un relèvement du PTAC à 4.5T</w:t>
      </w:r>
      <w:r w:rsidR="008A025D" w:rsidRPr="0078591B">
        <w:rPr>
          <w:bCs/>
          <w:iCs/>
          <w:sz w:val="20"/>
          <w:szCs w:val="20"/>
          <w:bdr w:val="none" w:sz="0" w:space="0" w:color="auto" w:frame="1"/>
        </w:rPr>
        <w:t xml:space="preserve">. La FICM a conclu l’exercice par un </w:t>
      </w:r>
      <w:r w:rsidR="00973FAD" w:rsidRPr="0078591B">
        <w:rPr>
          <w:bCs/>
          <w:iCs/>
          <w:sz w:val="20"/>
          <w:szCs w:val="20"/>
          <w:bdr w:val="none" w:sz="0" w:space="0" w:color="auto" w:frame="1"/>
        </w:rPr>
        <w:t>Mémorandum</w:t>
      </w:r>
      <w:r w:rsidR="008A025D" w:rsidRPr="0078591B">
        <w:rPr>
          <w:bCs/>
          <w:iCs/>
          <w:sz w:val="20"/>
          <w:szCs w:val="20"/>
          <w:bdr w:val="none" w:sz="0" w:space="0" w:color="auto" w:frame="1"/>
        </w:rPr>
        <w:t xml:space="preserve"> adressé à Madame Adina-Ioana Válean, Commissaire à la Mobilité et au Transport, retraçant l’historique de la norme de 3.5T et soulignant le blocage délibéré à ce niveau par l’un des plus grands </w:t>
      </w:r>
      <w:r w:rsidR="00973FAD" w:rsidRPr="0078591B">
        <w:rPr>
          <w:bCs/>
          <w:iCs/>
          <w:sz w:val="20"/>
          <w:szCs w:val="20"/>
          <w:bdr w:val="none" w:sz="0" w:space="0" w:color="auto" w:frame="1"/>
        </w:rPr>
        <w:t>États</w:t>
      </w:r>
      <w:r w:rsidR="008A025D" w:rsidRPr="0078591B">
        <w:rPr>
          <w:bCs/>
          <w:iCs/>
          <w:sz w:val="20"/>
          <w:szCs w:val="20"/>
          <w:bdr w:val="none" w:sz="0" w:space="0" w:color="auto" w:frame="1"/>
        </w:rPr>
        <w:t xml:space="preserve"> de l’Union : la France !</w:t>
      </w:r>
      <w:r w:rsidR="00CD37B8" w:rsidRPr="0078591B">
        <w:rPr>
          <w:bCs/>
          <w:iCs/>
          <w:sz w:val="20"/>
          <w:szCs w:val="20"/>
          <w:bdr w:val="none" w:sz="0" w:space="0" w:color="auto" w:frame="1"/>
        </w:rPr>
        <w:t xml:space="preserve">  Dans la foulée, la FICM a adressé copie de ce document au Rapporteur de la Commission TRANS-TOURISM du Parlement européen sur les questions de sécurité routière, car le chemin est encore long</w:t>
      </w:r>
      <w:r w:rsidR="00F62EBF" w:rsidRPr="0078591B">
        <w:rPr>
          <w:bCs/>
          <w:iCs/>
          <w:sz w:val="20"/>
          <w:szCs w:val="20"/>
          <w:bdr w:val="none" w:sz="0" w:space="0" w:color="auto" w:frame="1"/>
        </w:rPr>
        <w:t xml:space="preserve"> </w:t>
      </w:r>
      <w:r w:rsidR="00CD37B8" w:rsidRPr="0078591B">
        <w:rPr>
          <w:bCs/>
          <w:iCs/>
          <w:sz w:val="20"/>
          <w:szCs w:val="20"/>
          <w:bdr w:val="none" w:sz="0" w:space="0" w:color="auto" w:frame="1"/>
        </w:rPr>
        <w:t>… et parsemé d’embûches.</w:t>
      </w:r>
      <w:r w:rsidR="00916287">
        <w:rPr>
          <w:bCs/>
          <w:iCs/>
          <w:sz w:val="20"/>
          <w:szCs w:val="20"/>
          <w:bdr w:val="none" w:sz="0" w:space="0" w:color="auto" w:frame="1"/>
        </w:rPr>
        <w:t xml:space="preserve"> Une </w:t>
      </w:r>
      <w:r w:rsidR="00916287" w:rsidRPr="00916287">
        <w:rPr>
          <w:b/>
          <w:bCs/>
          <w:iCs/>
          <w:sz w:val="20"/>
          <w:szCs w:val="20"/>
          <w:bdr w:val="none" w:sz="0" w:space="0" w:color="auto" w:frame="1"/>
        </w:rPr>
        <w:t>mobilisation</w:t>
      </w:r>
      <w:r w:rsidR="00916287">
        <w:rPr>
          <w:bCs/>
          <w:iCs/>
          <w:sz w:val="20"/>
          <w:szCs w:val="20"/>
          <w:bdr w:val="none" w:sz="0" w:space="0" w:color="auto" w:frame="1"/>
        </w:rPr>
        <w:t xml:space="preserve"> sera nécessaire.</w:t>
      </w:r>
    </w:p>
    <w:p w:rsidR="0078591B" w:rsidRDefault="0078591B" w:rsidP="0078591B">
      <w:pPr>
        <w:spacing w:after="0" w:line="240" w:lineRule="auto"/>
        <w:jc w:val="both"/>
        <w:rPr>
          <w:b/>
          <w:bCs/>
          <w:iCs/>
          <w:sz w:val="20"/>
          <w:szCs w:val="20"/>
          <w:bdr w:val="none" w:sz="0" w:space="0" w:color="auto" w:frame="1"/>
        </w:rPr>
      </w:pPr>
    </w:p>
    <w:p w:rsidR="00F62EBF" w:rsidRPr="0078591B" w:rsidRDefault="00F62EBF" w:rsidP="0078591B">
      <w:pPr>
        <w:spacing w:after="0" w:line="240" w:lineRule="auto"/>
        <w:jc w:val="both"/>
        <w:rPr>
          <w:bCs/>
          <w:iCs/>
          <w:sz w:val="20"/>
          <w:szCs w:val="20"/>
          <w:bdr w:val="none" w:sz="0" w:space="0" w:color="auto" w:frame="1"/>
        </w:rPr>
      </w:pPr>
      <w:r w:rsidRPr="0078591B">
        <w:rPr>
          <w:b/>
          <w:bCs/>
          <w:iCs/>
          <w:sz w:val="20"/>
          <w:szCs w:val="20"/>
          <w:bdr w:val="none" w:sz="0" w:space="0" w:color="auto" w:frame="1"/>
        </w:rPr>
        <w:t>Green Deal et mort annoncée du Diesel</w:t>
      </w:r>
      <w:r w:rsidRPr="0078591B">
        <w:rPr>
          <w:b/>
          <w:bCs/>
          <w:iCs/>
          <w:sz w:val="20"/>
          <w:szCs w:val="20"/>
          <w:bdr w:val="none" w:sz="0" w:space="0" w:color="auto" w:frame="1"/>
        </w:rPr>
        <w:tab/>
      </w:r>
      <w:r w:rsidRPr="0078591B">
        <w:rPr>
          <w:bCs/>
          <w:iCs/>
          <w:sz w:val="20"/>
          <w:szCs w:val="20"/>
          <w:bdr w:val="none" w:sz="0" w:space="0" w:color="auto" w:frame="1"/>
        </w:rPr>
        <w:br/>
        <w:t xml:space="preserve">La FICM n’a cessé, tout au long des négociations menées auprès de la Commission européenne, de rechercher l’intérêt des parties : camping-caristes, constructeurs, </w:t>
      </w:r>
      <w:r w:rsidR="00611AF8" w:rsidRPr="0078591B">
        <w:rPr>
          <w:bCs/>
          <w:iCs/>
          <w:sz w:val="20"/>
          <w:szCs w:val="20"/>
          <w:bdr w:val="none" w:sz="0" w:space="0" w:color="auto" w:frame="1"/>
        </w:rPr>
        <w:t xml:space="preserve">tourisme sans frontière et tourisme lent, itinérant et qui s’attarde dans les régions. La </w:t>
      </w:r>
      <w:r w:rsidR="00973FAD" w:rsidRPr="0078591B">
        <w:rPr>
          <w:bCs/>
          <w:iCs/>
          <w:sz w:val="20"/>
          <w:szCs w:val="20"/>
          <w:bdr w:val="none" w:sz="0" w:space="0" w:color="auto" w:frame="1"/>
        </w:rPr>
        <w:t>dé-carbonisation</w:t>
      </w:r>
      <w:r w:rsidR="00611AF8" w:rsidRPr="0078591B">
        <w:rPr>
          <w:bCs/>
          <w:iCs/>
          <w:sz w:val="20"/>
          <w:szCs w:val="20"/>
          <w:bdr w:val="none" w:sz="0" w:space="0" w:color="auto" w:frame="1"/>
        </w:rPr>
        <w:t xml:space="preserve"> du trafic est un gigantesque défi pour la Commission européenne. Dès 2018, la Directive 645</w:t>
      </w:r>
      <w:r w:rsidR="00A6483E" w:rsidRPr="0078591B">
        <w:rPr>
          <w:bCs/>
          <w:iCs/>
          <w:sz w:val="20"/>
          <w:szCs w:val="20"/>
          <w:bdr w:val="none" w:sz="0" w:space="0" w:color="auto" w:frame="1"/>
        </w:rPr>
        <w:t>/UE</w:t>
      </w:r>
      <w:r w:rsidR="00611AF8" w:rsidRPr="0078591B">
        <w:rPr>
          <w:bCs/>
          <w:iCs/>
          <w:sz w:val="20"/>
          <w:szCs w:val="20"/>
          <w:bdr w:val="none" w:sz="0" w:space="0" w:color="auto" w:frame="1"/>
        </w:rPr>
        <w:t xml:space="preserve"> entrevoyait la possibilité de relever le PTAC à 4.25T sous réserve </w:t>
      </w:r>
      <w:r w:rsidR="00973FAD" w:rsidRPr="0078591B">
        <w:rPr>
          <w:bCs/>
          <w:iCs/>
          <w:sz w:val="20"/>
          <w:szCs w:val="20"/>
          <w:bdr w:val="none" w:sz="0" w:space="0" w:color="auto" w:frame="1"/>
        </w:rPr>
        <w:t>que ce surpoids soit consacré à des équipements recourant aux énergies alternatives</w:t>
      </w:r>
      <w:r w:rsidR="00D10AEA" w:rsidRPr="0078591B">
        <w:rPr>
          <w:bCs/>
          <w:iCs/>
          <w:sz w:val="20"/>
          <w:szCs w:val="20"/>
          <w:bdr w:val="none" w:sz="0" w:space="0" w:color="auto" w:frame="1"/>
        </w:rPr>
        <w:t xml:space="preserve"> et réservé à certains types de véhicules</w:t>
      </w:r>
      <w:r w:rsidR="00973FAD" w:rsidRPr="0078591B">
        <w:rPr>
          <w:bCs/>
          <w:iCs/>
          <w:sz w:val="20"/>
          <w:szCs w:val="20"/>
          <w:bdr w:val="none" w:sz="0" w:space="0" w:color="auto" w:frame="1"/>
        </w:rPr>
        <w:t>.</w:t>
      </w:r>
      <w:r w:rsidR="00A6483E" w:rsidRPr="0078591B">
        <w:rPr>
          <w:bCs/>
          <w:iCs/>
          <w:sz w:val="20"/>
          <w:szCs w:val="20"/>
          <w:bdr w:val="none" w:sz="0" w:space="0" w:color="auto" w:frame="1"/>
        </w:rPr>
        <w:t xml:space="preserve"> Le Législateur européen s’y opposa. Aujourd’hui, la FICM s’y oppose par crainte que les constructeurs ne s’empare</w:t>
      </w:r>
      <w:r w:rsidR="00D10AEA" w:rsidRPr="0078591B">
        <w:rPr>
          <w:bCs/>
          <w:iCs/>
          <w:sz w:val="20"/>
          <w:szCs w:val="20"/>
          <w:bdr w:val="none" w:sz="0" w:space="0" w:color="auto" w:frame="1"/>
        </w:rPr>
        <w:t>nt</w:t>
      </w:r>
      <w:r w:rsidR="00A6483E" w:rsidRPr="0078591B">
        <w:rPr>
          <w:bCs/>
          <w:iCs/>
          <w:sz w:val="20"/>
          <w:szCs w:val="20"/>
          <w:bdr w:val="none" w:sz="0" w:space="0" w:color="auto" w:frame="1"/>
        </w:rPr>
        <w:t xml:space="preserve"> de 750 kg pour placer de plus grosses batteries ou autres technologies, sans pour autant garantir les 500 kg de charge utile exigés par les utilisateurs. Dès lors, la FICM propose de porter le PTAC en permis B à 4.5T dans la mesure où la plupart des constructeurs offrent une cellule identique sur châssis 3.5T ou 4.5T</w:t>
      </w:r>
      <w:r w:rsidR="00D10AEA" w:rsidRPr="0078591B">
        <w:rPr>
          <w:bCs/>
          <w:iCs/>
          <w:sz w:val="20"/>
          <w:szCs w:val="20"/>
          <w:bdr w:val="none" w:sz="0" w:space="0" w:color="auto" w:frame="1"/>
        </w:rPr>
        <w:t>. Cette proposition s’inscrit dans l’esprit d’un compromis légitime. Reste à convenir des modalités.</w:t>
      </w:r>
    </w:p>
    <w:p w:rsidR="00D10AEA" w:rsidRPr="0078591B" w:rsidRDefault="00C42FA5" w:rsidP="0078591B">
      <w:pPr>
        <w:spacing w:after="0" w:line="240" w:lineRule="auto"/>
        <w:jc w:val="both"/>
        <w:rPr>
          <w:bCs/>
          <w:iCs/>
          <w:sz w:val="20"/>
          <w:szCs w:val="20"/>
          <w:bdr w:val="none" w:sz="0" w:space="0" w:color="auto" w:frame="1"/>
        </w:rPr>
      </w:pPr>
      <w:r>
        <w:rPr>
          <w:b/>
          <w:bCs/>
          <w:iCs/>
          <w:sz w:val="20"/>
          <w:szCs w:val="20"/>
          <w:bdr w:val="none" w:sz="0" w:space="0" w:color="auto" w:frame="1"/>
        </w:rPr>
        <w:br/>
      </w:r>
      <w:r w:rsidR="00D10AEA" w:rsidRPr="0078591B">
        <w:rPr>
          <w:b/>
          <w:bCs/>
          <w:iCs/>
          <w:sz w:val="20"/>
          <w:szCs w:val="20"/>
          <w:bdr w:val="none" w:sz="0" w:space="0" w:color="auto" w:frame="1"/>
        </w:rPr>
        <w:t>Distinguer l’usage privé de l’usage professionnel</w:t>
      </w:r>
      <w:r w:rsidR="00D10AEA" w:rsidRPr="0078591B">
        <w:rPr>
          <w:b/>
          <w:bCs/>
          <w:iCs/>
          <w:sz w:val="20"/>
          <w:szCs w:val="20"/>
          <w:bdr w:val="none" w:sz="0" w:space="0" w:color="auto" w:frame="1"/>
        </w:rPr>
        <w:tab/>
      </w:r>
      <w:r w:rsidR="00D10AEA" w:rsidRPr="0078591B">
        <w:rPr>
          <w:bCs/>
          <w:iCs/>
          <w:sz w:val="20"/>
          <w:szCs w:val="20"/>
          <w:bdr w:val="none" w:sz="0" w:space="0" w:color="auto" w:frame="1"/>
        </w:rPr>
        <w:br/>
        <w:t>La règlementation actuelle veut que l</w:t>
      </w:r>
      <w:r w:rsidR="00FF1B9C" w:rsidRPr="0078591B">
        <w:rPr>
          <w:bCs/>
          <w:iCs/>
          <w:sz w:val="20"/>
          <w:szCs w:val="20"/>
          <w:bdr w:val="none" w:sz="0" w:space="0" w:color="auto" w:frame="1"/>
        </w:rPr>
        <w:t>a conduite d</w:t>
      </w:r>
      <w:r w:rsidR="00D10AEA" w:rsidRPr="0078591B">
        <w:rPr>
          <w:bCs/>
          <w:iCs/>
          <w:sz w:val="20"/>
          <w:szCs w:val="20"/>
          <w:bdr w:val="none" w:sz="0" w:space="0" w:color="auto" w:frame="1"/>
        </w:rPr>
        <w:t>e véhicules de PTAC supérieur à 3.5T soit limité</w:t>
      </w:r>
      <w:r w:rsidR="00FF1B9C" w:rsidRPr="0078591B">
        <w:rPr>
          <w:bCs/>
          <w:iCs/>
          <w:sz w:val="20"/>
          <w:szCs w:val="20"/>
          <w:bdr w:val="none" w:sz="0" w:space="0" w:color="auto" w:frame="1"/>
        </w:rPr>
        <w:t>e</w:t>
      </w:r>
      <w:r w:rsidR="00D10AEA" w:rsidRPr="0078591B">
        <w:rPr>
          <w:bCs/>
          <w:iCs/>
          <w:sz w:val="20"/>
          <w:szCs w:val="20"/>
          <w:bdr w:val="none" w:sz="0" w:space="0" w:color="auto" w:frame="1"/>
        </w:rPr>
        <w:t xml:space="preserve"> aux détenteurs d’un permis de classe C ou D. </w:t>
      </w:r>
      <w:r w:rsidR="00FF1B9C" w:rsidRPr="0078591B">
        <w:rPr>
          <w:bCs/>
          <w:iCs/>
          <w:sz w:val="20"/>
          <w:szCs w:val="20"/>
          <w:bdr w:val="none" w:sz="0" w:space="0" w:color="auto" w:frame="1"/>
        </w:rPr>
        <w:t xml:space="preserve">Le permis C1 (2000 € et examen médical périodique) ne se justifie pas pour un véhicule de loisir à faible kilométrage. La FICM propose donc de réunir véhicules de loisir et de tourisme en classe B, avec deux plafonds à 4.5T et 7.5T. Tout véhicule de PTAC supérieur à 4.5T justifierait au minimum une épreuve sur parking et, au-delà de 7.5T, le régime appliqué actuellement sous permis C1 pour autant que le PTAC soit inférieur ou égal à </w:t>
      </w:r>
      <w:r w:rsidR="00253019" w:rsidRPr="0078591B">
        <w:rPr>
          <w:bCs/>
          <w:iCs/>
          <w:sz w:val="20"/>
          <w:szCs w:val="20"/>
          <w:bdr w:val="none" w:sz="0" w:space="0" w:color="auto" w:frame="1"/>
        </w:rPr>
        <w:t>15T. Au-delà de 15T, le régime C serait maintenu tel quel.</w:t>
      </w:r>
    </w:p>
    <w:p w:rsidR="00253019" w:rsidRDefault="00253019" w:rsidP="0078591B">
      <w:pPr>
        <w:spacing w:after="0" w:line="240" w:lineRule="auto"/>
        <w:jc w:val="both"/>
        <w:rPr>
          <w:bCs/>
          <w:iCs/>
          <w:sz w:val="20"/>
          <w:szCs w:val="20"/>
          <w:bdr w:val="none" w:sz="0" w:space="0" w:color="auto" w:frame="1"/>
        </w:rPr>
      </w:pPr>
      <w:r w:rsidRPr="0078591B">
        <w:rPr>
          <w:bCs/>
          <w:iCs/>
          <w:sz w:val="20"/>
          <w:szCs w:val="20"/>
          <w:bdr w:val="none" w:sz="0" w:space="0" w:color="auto" w:frame="1"/>
        </w:rPr>
        <w:t>La procédure en révision du permis B doit permettre de trouver un juste équilibre entre obligations et besoins techniques ou logistiques.</w:t>
      </w:r>
    </w:p>
    <w:p w:rsidR="0078591B" w:rsidRPr="0078591B" w:rsidRDefault="0078591B" w:rsidP="0078591B">
      <w:pPr>
        <w:spacing w:after="0" w:line="240" w:lineRule="auto"/>
        <w:jc w:val="both"/>
        <w:rPr>
          <w:bCs/>
          <w:iCs/>
          <w:sz w:val="20"/>
          <w:szCs w:val="20"/>
          <w:bdr w:val="none" w:sz="0" w:space="0" w:color="auto" w:frame="1"/>
        </w:rPr>
      </w:pPr>
    </w:p>
    <w:p w:rsidR="0078591B" w:rsidRPr="0078591B" w:rsidRDefault="00253019" w:rsidP="0078591B">
      <w:pPr>
        <w:spacing w:after="0" w:line="240" w:lineRule="auto"/>
        <w:rPr>
          <w:sz w:val="20"/>
          <w:szCs w:val="20"/>
        </w:rPr>
      </w:pPr>
      <w:r w:rsidRPr="0078591B">
        <w:rPr>
          <w:b/>
          <w:bCs/>
          <w:iCs/>
          <w:sz w:val="20"/>
          <w:szCs w:val="20"/>
          <w:bdr w:val="none" w:sz="0" w:space="0" w:color="auto" w:frame="1"/>
        </w:rPr>
        <w:t>L’agenda</w:t>
      </w:r>
      <w:r w:rsidR="0078591B" w:rsidRPr="0078591B">
        <w:rPr>
          <w:b/>
          <w:bCs/>
          <w:iCs/>
          <w:sz w:val="20"/>
          <w:szCs w:val="20"/>
          <w:bdr w:val="none" w:sz="0" w:space="0" w:color="auto" w:frame="1"/>
        </w:rPr>
        <w:br/>
      </w:r>
      <w:r w:rsidR="0078591B" w:rsidRPr="0078591B">
        <w:rPr>
          <w:b/>
          <w:sz w:val="20"/>
          <w:szCs w:val="20"/>
        </w:rPr>
        <w:t>11/2021</w:t>
      </w:r>
      <w:r w:rsidR="00C42FA5">
        <w:rPr>
          <w:sz w:val="20"/>
          <w:szCs w:val="20"/>
        </w:rPr>
        <w:t xml:space="preserve"> : </w:t>
      </w:r>
      <w:r w:rsidR="0078591B" w:rsidRPr="0078591B">
        <w:rPr>
          <w:sz w:val="20"/>
          <w:szCs w:val="20"/>
        </w:rPr>
        <w:t>rapport de la Commission au Parlement sur les orientations de la Réforme</w:t>
      </w:r>
      <w:r w:rsidR="00C42FA5">
        <w:rPr>
          <w:sz w:val="20"/>
          <w:szCs w:val="20"/>
        </w:rPr>
        <w:t>.</w:t>
      </w:r>
    </w:p>
    <w:p w:rsidR="0078591B" w:rsidRPr="0078591B" w:rsidRDefault="0078591B" w:rsidP="00C42FA5">
      <w:pPr>
        <w:spacing w:after="0" w:line="240" w:lineRule="auto"/>
        <w:jc w:val="both"/>
        <w:rPr>
          <w:sz w:val="20"/>
          <w:szCs w:val="20"/>
        </w:rPr>
      </w:pPr>
      <w:r w:rsidRPr="0078591B">
        <w:rPr>
          <w:b/>
          <w:sz w:val="20"/>
          <w:szCs w:val="20"/>
        </w:rPr>
        <w:lastRenderedPageBreak/>
        <w:t>Début 2022</w:t>
      </w:r>
      <w:r w:rsidRPr="0078591B">
        <w:rPr>
          <w:sz w:val="20"/>
          <w:szCs w:val="20"/>
        </w:rPr>
        <w:t xml:space="preserve"> : - </w:t>
      </w:r>
      <w:r w:rsidRPr="0078591B">
        <w:rPr>
          <w:b/>
          <w:sz w:val="20"/>
          <w:szCs w:val="20"/>
        </w:rPr>
        <w:t>consultation de 12 semaines</w:t>
      </w:r>
      <w:r w:rsidRPr="0078591B">
        <w:rPr>
          <w:sz w:val="20"/>
          <w:szCs w:val="20"/>
        </w:rPr>
        <w:t xml:space="preserve"> destinée à évaluer la pertinence des mesures envisagées, les plaintes des citoyens, les infractions éventuelles des États Membres. Il s’agit d’un effort de consolidation.</w:t>
      </w:r>
      <w:r w:rsidRPr="0078591B">
        <w:rPr>
          <w:sz w:val="20"/>
          <w:szCs w:val="20"/>
        </w:rPr>
        <w:br/>
        <w:t xml:space="preserve">- </w:t>
      </w:r>
      <w:r w:rsidRPr="0078591B">
        <w:rPr>
          <w:b/>
          <w:sz w:val="20"/>
          <w:szCs w:val="20"/>
        </w:rPr>
        <w:t xml:space="preserve">ateliers ciblés et courts </w:t>
      </w:r>
      <w:r w:rsidRPr="0078591B">
        <w:rPr>
          <w:sz w:val="20"/>
          <w:szCs w:val="20"/>
        </w:rPr>
        <w:t>destinés à créer la discussion, en allant droit au fait avec questionnaires et interviews structurés</w:t>
      </w:r>
    </w:p>
    <w:p w:rsidR="0078591B" w:rsidRPr="0078591B" w:rsidRDefault="0078591B" w:rsidP="00C42FA5">
      <w:pPr>
        <w:spacing w:after="0" w:line="240" w:lineRule="auto"/>
        <w:jc w:val="both"/>
        <w:rPr>
          <w:sz w:val="20"/>
          <w:szCs w:val="20"/>
        </w:rPr>
      </w:pPr>
      <w:r w:rsidRPr="0078591B">
        <w:rPr>
          <w:b/>
          <w:sz w:val="20"/>
          <w:szCs w:val="20"/>
        </w:rPr>
        <w:t>Vers novembre 2022</w:t>
      </w:r>
      <w:r w:rsidRPr="0078591B">
        <w:rPr>
          <w:sz w:val="20"/>
          <w:szCs w:val="20"/>
        </w:rPr>
        <w:t> :  les propositions seront soumises à un Groupe de Sages (interne à la Commission), dont le rapport sera transmis au Collège des Commissaires. Ce seront les premières décisions politiques, basées sur de nombreuses analyses techniques.</w:t>
      </w:r>
    </w:p>
    <w:p w:rsidR="0078591B" w:rsidRPr="0078591B" w:rsidRDefault="0078591B" w:rsidP="0078591B">
      <w:pPr>
        <w:spacing w:after="0" w:line="240" w:lineRule="auto"/>
        <w:jc w:val="both"/>
        <w:rPr>
          <w:sz w:val="20"/>
          <w:szCs w:val="20"/>
        </w:rPr>
      </w:pPr>
      <w:r w:rsidRPr="0078591B">
        <w:rPr>
          <w:sz w:val="20"/>
          <w:szCs w:val="20"/>
        </w:rPr>
        <w:t>En ce qui concerne le relèvement du PTAC :</w:t>
      </w:r>
      <w:r>
        <w:rPr>
          <w:sz w:val="20"/>
          <w:szCs w:val="20"/>
        </w:rPr>
        <w:t xml:space="preserve"> </w:t>
      </w:r>
      <w:r w:rsidRPr="0078591B">
        <w:rPr>
          <w:sz w:val="20"/>
          <w:szCs w:val="20"/>
        </w:rPr>
        <w:t>analyse du marché (y compris celui de l’occasion), intégrer le Green Deal, impacts industriel, écologique, environnemental ; Sécurité routière (</w:t>
      </w:r>
      <w:r w:rsidR="00C42FA5">
        <w:rPr>
          <w:sz w:val="20"/>
          <w:szCs w:val="20"/>
        </w:rPr>
        <w:t xml:space="preserve">quid, </w:t>
      </w:r>
      <w:r w:rsidRPr="0078591B">
        <w:rPr>
          <w:sz w:val="20"/>
          <w:szCs w:val="20"/>
        </w:rPr>
        <w:t>si tous les véhicules passent au-dessus de 3.5T</w:t>
      </w:r>
      <w:r w:rsidR="00AB7BAE">
        <w:rPr>
          <w:sz w:val="20"/>
          <w:szCs w:val="20"/>
        </w:rPr>
        <w:t> ?</w:t>
      </w:r>
      <w:r w:rsidRPr="0078591B">
        <w:rPr>
          <w:sz w:val="20"/>
          <w:szCs w:val="20"/>
        </w:rPr>
        <w:t>) ; mesures spécifiques destinées aux véhicules récréationnels.  C</w:t>
      </w:r>
      <w:r w:rsidR="00C42FA5">
        <w:rPr>
          <w:sz w:val="20"/>
          <w:szCs w:val="20"/>
        </w:rPr>
        <w:t>ohérence, pertinence, équilibre</w:t>
      </w:r>
      <w:r w:rsidRPr="0078591B">
        <w:rPr>
          <w:sz w:val="20"/>
          <w:szCs w:val="20"/>
        </w:rPr>
        <w:t>, et bonne délimitation pour éviter tout débordement dans le secteur du Transport.</w:t>
      </w:r>
    </w:p>
    <w:p w:rsidR="0078591B" w:rsidRDefault="0078591B" w:rsidP="0078591B">
      <w:pPr>
        <w:spacing w:after="0" w:line="240" w:lineRule="auto"/>
        <w:jc w:val="both"/>
        <w:rPr>
          <w:sz w:val="20"/>
          <w:szCs w:val="20"/>
        </w:rPr>
      </w:pPr>
      <w:r w:rsidRPr="0078591B">
        <w:rPr>
          <w:b/>
          <w:sz w:val="20"/>
          <w:szCs w:val="20"/>
        </w:rPr>
        <w:t>Fin 2022 :</w:t>
      </w:r>
      <w:r w:rsidRPr="0078591B">
        <w:rPr>
          <w:sz w:val="20"/>
          <w:szCs w:val="20"/>
        </w:rPr>
        <w:t xml:space="preserve"> avant-projet déposé au Parlement européen, qui prendra environ 1 an pour déposer son rapport.</w:t>
      </w:r>
      <w:r w:rsidRPr="0078591B">
        <w:rPr>
          <w:sz w:val="20"/>
          <w:szCs w:val="20"/>
        </w:rPr>
        <w:br/>
        <w:t>Pendant ce temps, la Commission maintient le contact avec le Parlement et le Conseil (Comités de Comitologie</w:t>
      </w:r>
      <w:r w:rsidR="00AB7BAE" w:rsidRPr="0078591B">
        <w:rPr>
          <w:sz w:val="20"/>
          <w:szCs w:val="20"/>
        </w:rPr>
        <w:t xml:space="preserve">) </w:t>
      </w:r>
      <w:r w:rsidRPr="0078591B">
        <w:rPr>
          <w:sz w:val="20"/>
          <w:szCs w:val="20"/>
        </w:rPr>
        <w:br/>
      </w:r>
      <w:r w:rsidRPr="0078591B">
        <w:rPr>
          <w:b/>
          <w:sz w:val="20"/>
          <w:szCs w:val="20"/>
        </w:rPr>
        <w:t>Fin 2023 </w:t>
      </w:r>
      <w:r w:rsidR="00AB7BAE" w:rsidRPr="0078591B">
        <w:rPr>
          <w:b/>
          <w:sz w:val="20"/>
          <w:szCs w:val="20"/>
        </w:rPr>
        <w:t>:</w:t>
      </w:r>
      <w:r w:rsidR="00AB7BAE" w:rsidRPr="0078591B">
        <w:rPr>
          <w:sz w:val="20"/>
          <w:szCs w:val="20"/>
        </w:rPr>
        <w:t xml:space="preserve"> possibilité</w:t>
      </w:r>
      <w:r w:rsidRPr="0078591B">
        <w:rPr>
          <w:sz w:val="20"/>
          <w:szCs w:val="20"/>
        </w:rPr>
        <w:t xml:space="preserve"> d’un vote au Parlement</w:t>
      </w:r>
      <w:r>
        <w:rPr>
          <w:sz w:val="20"/>
          <w:szCs w:val="20"/>
        </w:rPr>
        <w:tab/>
      </w:r>
      <w:r w:rsidRPr="0078591B">
        <w:rPr>
          <w:sz w:val="20"/>
          <w:szCs w:val="20"/>
        </w:rPr>
        <w:br/>
        <w:t>Mise en application ?  Normalement, la ratification par les États Membres prend un an, parfois plus (2 à 3 ans !).</w:t>
      </w:r>
      <w:r>
        <w:rPr>
          <w:sz w:val="20"/>
          <w:szCs w:val="20"/>
        </w:rPr>
        <w:t xml:space="preserve"> </w:t>
      </w:r>
      <w:r w:rsidRPr="0078591B">
        <w:rPr>
          <w:sz w:val="20"/>
          <w:szCs w:val="20"/>
        </w:rPr>
        <w:t>Il est possible que certains États refusent l’une ou l’aut</w:t>
      </w:r>
      <w:r w:rsidR="00AB7BAE">
        <w:rPr>
          <w:sz w:val="20"/>
          <w:szCs w:val="20"/>
        </w:rPr>
        <w:t>re mesure (opt-out). Alors, cela</w:t>
      </w:r>
      <w:r w:rsidRPr="0078591B">
        <w:rPr>
          <w:sz w:val="20"/>
          <w:szCs w:val="20"/>
        </w:rPr>
        <w:t xml:space="preserve"> traîne encore davantage.</w:t>
      </w:r>
    </w:p>
    <w:p w:rsidR="0078591B" w:rsidRPr="0078591B" w:rsidRDefault="0078591B" w:rsidP="0078591B">
      <w:pPr>
        <w:spacing w:after="0" w:line="240" w:lineRule="auto"/>
        <w:rPr>
          <w:sz w:val="20"/>
          <w:szCs w:val="20"/>
        </w:rPr>
      </w:pPr>
      <w:r>
        <w:rPr>
          <w:sz w:val="20"/>
          <w:szCs w:val="20"/>
        </w:rPr>
        <w:br/>
      </w:r>
      <w:r>
        <w:rPr>
          <w:b/>
          <w:sz w:val="20"/>
          <w:szCs w:val="20"/>
        </w:rPr>
        <w:t>Les atouts de la FICM</w:t>
      </w:r>
      <w:r>
        <w:rPr>
          <w:b/>
          <w:sz w:val="20"/>
          <w:szCs w:val="20"/>
        </w:rPr>
        <w:tab/>
      </w:r>
      <w:r w:rsidR="00253019">
        <w:rPr>
          <w:bCs/>
          <w:iCs/>
          <w:color w:val="1F497D"/>
          <w:szCs w:val="16"/>
          <w:bdr w:val="none" w:sz="0" w:space="0" w:color="auto" w:frame="1"/>
        </w:rPr>
        <w:br/>
      </w:r>
      <w:r w:rsidRPr="0078591B">
        <w:rPr>
          <w:sz w:val="20"/>
          <w:szCs w:val="20"/>
        </w:rPr>
        <w:t>La FICM est totalement indépendante de tout intérêt industriel ou financier.</w:t>
      </w:r>
    </w:p>
    <w:p w:rsidR="0078591B" w:rsidRPr="0078591B" w:rsidRDefault="0078591B" w:rsidP="0078591B">
      <w:pPr>
        <w:spacing w:after="0" w:line="240" w:lineRule="auto"/>
        <w:rPr>
          <w:sz w:val="20"/>
          <w:szCs w:val="20"/>
        </w:rPr>
      </w:pPr>
      <w:r w:rsidRPr="0078591B">
        <w:rPr>
          <w:sz w:val="20"/>
          <w:szCs w:val="20"/>
        </w:rPr>
        <w:t>La FICM représente des Utilisateurs de CC et rien que des utilisateurs.</w:t>
      </w:r>
    </w:p>
    <w:p w:rsidR="0078591B" w:rsidRPr="0078591B" w:rsidRDefault="0078591B" w:rsidP="0078591B">
      <w:pPr>
        <w:spacing w:after="0" w:line="240" w:lineRule="auto"/>
        <w:rPr>
          <w:sz w:val="20"/>
          <w:szCs w:val="20"/>
        </w:rPr>
      </w:pPr>
      <w:r w:rsidRPr="0078591B">
        <w:rPr>
          <w:sz w:val="20"/>
          <w:szCs w:val="20"/>
        </w:rPr>
        <w:t>La FICM est une association de consommateurs.</w:t>
      </w:r>
    </w:p>
    <w:p w:rsidR="0078591B" w:rsidRPr="0078591B" w:rsidRDefault="0078591B" w:rsidP="00166CDA">
      <w:pPr>
        <w:spacing w:after="0" w:line="240" w:lineRule="auto"/>
        <w:ind w:right="-142"/>
        <w:rPr>
          <w:sz w:val="20"/>
          <w:szCs w:val="20"/>
        </w:rPr>
      </w:pPr>
      <w:r w:rsidRPr="0078591B">
        <w:rPr>
          <w:sz w:val="20"/>
          <w:szCs w:val="20"/>
        </w:rPr>
        <w:t>La FICM peut défendre les constructeurs contre la menace industrielle</w:t>
      </w:r>
      <w:r w:rsidR="00166CDA">
        <w:rPr>
          <w:sz w:val="20"/>
          <w:szCs w:val="20"/>
        </w:rPr>
        <w:t xml:space="preserve"> et sociale liée à la transition énergétique.</w:t>
      </w:r>
    </w:p>
    <w:p w:rsidR="0078591B" w:rsidRPr="0078591B" w:rsidRDefault="0078591B" w:rsidP="0078591B">
      <w:pPr>
        <w:spacing w:after="0" w:line="240" w:lineRule="auto"/>
        <w:rPr>
          <w:sz w:val="20"/>
          <w:szCs w:val="20"/>
        </w:rPr>
      </w:pPr>
      <w:r w:rsidRPr="0078591B">
        <w:rPr>
          <w:sz w:val="20"/>
          <w:szCs w:val="20"/>
        </w:rPr>
        <w:t>La FICM peut défendre un tourisme propre, autonome et respectueux de l’environnement.</w:t>
      </w:r>
    </w:p>
    <w:p w:rsidR="0078591B" w:rsidRPr="0078591B" w:rsidRDefault="0078591B" w:rsidP="0078591B">
      <w:pPr>
        <w:spacing w:after="0" w:line="240" w:lineRule="auto"/>
        <w:rPr>
          <w:sz w:val="20"/>
          <w:szCs w:val="20"/>
        </w:rPr>
      </w:pPr>
      <w:r w:rsidRPr="0078591B">
        <w:rPr>
          <w:sz w:val="20"/>
          <w:szCs w:val="20"/>
        </w:rPr>
        <w:t>La FICM peut revendiquer un potentiel d’achat en commerce local, et de soutien en milieu rural.</w:t>
      </w:r>
    </w:p>
    <w:p w:rsidR="0078591B" w:rsidRPr="0078591B" w:rsidRDefault="0078591B" w:rsidP="0078591B">
      <w:pPr>
        <w:spacing w:after="0" w:line="240" w:lineRule="auto"/>
        <w:rPr>
          <w:sz w:val="20"/>
          <w:szCs w:val="20"/>
        </w:rPr>
      </w:pPr>
      <w:r w:rsidRPr="0078591B">
        <w:rPr>
          <w:sz w:val="20"/>
          <w:szCs w:val="20"/>
        </w:rPr>
        <w:t>La FICM est représentative de plus de 2.5 millions d’usagers de motor-homes et de familles.</w:t>
      </w:r>
    </w:p>
    <w:p w:rsidR="0078591B" w:rsidRPr="0078591B" w:rsidRDefault="0078591B" w:rsidP="0078591B">
      <w:pPr>
        <w:spacing w:after="0" w:line="240" w:lineRule="auto"/>
        <w:rPr>
          <w:sz w:val="20"/>
          <w:szCs w:val="20"/>
        </w:rPr>
      </w:pPr>
      <w:r w:rsidRPr="0078591B">
        <w:rPr>
          <w:sz w:val="20"/>
          <w:szCs w:val="20"/>
        </w:rPr>
        <w:t>La FICM a une bonne expertise dans son domaine d’activité.</w:t>
      </w:r>
    </w:p>
    <w:p w:rsidR="0078591B" w:rsidRPr="0078591B" w:rsidRDefault="0078591B" w:rsidP="00C42FA5">
      <w:pPr>
        <w:spacing w:after="0" w:line="240" w:lineRule="auto"/>
        <w:jc w:val="both"/>
        <w:rPr>
          <w:sz w:val="20"/>
          <w:szCs w:val="20"/>
        </w:rPr>
      </w:pPr>
      <w:r w:rsidRPr="0078591B">
        <w:rPr>
          <w:sz w:val="20"/>
          <w:szCs w:val="20"/>
        </w:rPr>
        <w:t>La FICM bénéficie, grâce au tra</w:t>
      </w:r>
      <w:r w:rsidR="00C42FA5">
        <w:rPr>
          <w:sz w:val="20"/>
          <w:szCs w:val="20"/>
        </w:rPr>
        <w:t>vail de ses clubs régionaux et a</w:t>
      </w:r>
      <w:r w:rsidRPr="0078591B">
        <w:rPr>
          <w:sz w:val="20"/>
          <w:szCs w:val="20"/>
        </w:rPr>
        <w:t>u dévouement de ses bénévoles</w:t>
      </w:r>
      <w:r w:rsidR="00AB7BAE">
        <w:rPr>
          <w:sz w:val="20"/>
          <w:szCs w:val="20"/>
        </w:rPr>
        <w:t>,</w:t>
      </w:r>
      <w:r w:rsidRPr="0078591B">
        <w:rPr>
          <w:sz w:val="20"/>
          <w:szCs w:val="20"/>
        </w:rPr>
        <w:t xml:space="preserve"> d’un ancrage profond avec les territoires et les municipalités.</w:t>
      </w:r>
    </w:p>
    <w:p w:rsidR="0078591B" w:rsidRPr="0078591B" w:rsidRDefault="0078591B" w:rsidP="00C42FA5">
      <w:pPr>
        <w:spacing w:after="0" w:line="240" w:lineRule="auto"/>
        <w:jc w:val="both"/>
        <w:rPr>
          <w:sz w:val="20"/>
          <w:szCs w:val="20"/>
        </w:rPr>
      </w:pPr>
      <w:r w:rsidRPr="0078591B">
        <w:rPr>
          <w:sz w:val="20"/>
          <w:szCs w:val="20"/>
        </w:rPr>
        <w:t>Les membres de nos clubs connaissent leur région, celles des autres et voyagent dans toute l’Europe, 365 jours par an. Ils représentent une population touristique stable et dynamique.</w:t>
      </w:r>
    </w:p>
    <w:p w:rsidR="00253019" w:rsidRDefault="00253019" w:rsidP="0078591B">
      <w:pPr>
        <w:spacing w:after="0" w:line="240" w:lineRule="auto"/>
        <w:jc w:val="both"/>
        <w:rPr>
          <w:sz w:val="20"/>
          <w:szCs w:val="20"/>
        </w:rPr>
      </w:pPr>
    </w:p>
    <w:p w:rsidR="00C42FA5" w:rsidRPr="00C42FA5" w:rsidRDefault="00C42FA5" w:rsidP="0078591B">
      <w:pPr>
        <w:spacing w:after="0" w:line="240" w:lineRule="auto"/>
        <w:jc w:val="both"/>
        <w:rPr>
          <w:b/>
          <w:sz w:val="20"/>
          <w:szCs w:val="20"/>
        </w:rPr>
      </w:pPr>
      <w:r w:rsidRPr="00C42FA5">
        <w:rPr>
          <w:b/>
          <w:sz w:val="20"/>
          <w:szCs w:val="20"/>
        </w:rPr>
        <w:t>La mobilisation en France</w:t>
      </w:r>
    </w:p>
    <w:p w:rsidR="00E82658" w:rsidRDefault="00916287" w:rsidP="00D56C49">
      <w:pPr>
        <w:jc w:val="both"/>
        <w:rPr>
          <w:b/>
          <w:bCs/>
          <w:iCs/>
          <w:sz w:val="18"/>
          <w:szCs w:val="16"/>
          <w:bdr w:val="none" w:sz="0" w:space="0" w:color="auto" w:frame="1"/>
        </w:rPr>
      </w:pPr>
      <w:r>
        <w:rPr>
          <w:bCs/>
          <w:iCs/>
          <w:sz w:val="20"/>
          <w:szCs w:val="16"/>
          <w:bdr w:val="none" w:sz="0" w:space="0" w:color="auto" w:frame="1"/>
        </w:rPr>
        <w:t xml:space="preserve">A l’occasion de la consultation publique de mai 2021, </w:t>
      </w:r>
      <w:r w:rsidR="00E82658">
        <w:rPr>
          <w:bCs/>
          <w:iCs/>
          <w:sz w:val="20"/>
          <w:szCs w:val="16"/>
          <w:bdr w:val="none" w:sz="0" w:space="0" w:color="auto" w:frame="1"/>
        </w:rPr>
        <w:t>la France n’a fourni que 26 contributions individuelles sur les 2213 enregistrées, soit 1% alors même que ce pays représente le second marché du camping-car en Europe.</w:t>
      </w:r>
      <w:r w:rsidR="00E82658">
        <w:rPr>
          <w:bCs/>
          <w:iCs/>
          <w:sz w:val="20"/>
          <w:szCs w:val="16"/>
          <w:bdr w:val="none" w:sz="0" w:space="0" w:color="auto" w:frame="1"/>
        </w:rPr>
        <w:br/>
        <w:t>Cette situation est inacceptable, car le camping-car est un outil de famille qui profite aux enfants et petits enfants. Il faut parler des problèmes de CC en famille et la FICM demande aux Clubs d’informer leurs membres quant aux moyens de faire entendre leurs v</w:t>
      </w:r>
      <w:r w:rsidR="00166CDA">
        <w:rPr>
          <w:bCs/>
          <w:iCs/>
          <w:sz w:val="20"/>
          <w:szCs w:val="16"/>
          <w:bdr w:val="none" w:sz="0" w:space="0" w:color="auto" w:frame="1"/>
        </w:rPr>
        <w:t xml:space="preserve">oix. Une instruction précise avec mode d’emploi sera fournie pour contribuer efficacement à la prochaine consultation de 12 semaines sur le site de la Commission européenne : </w:t>
      </w:r>
      <w:r w:rsidR="00166CDA" w:rsidRPr="00166CDA">
        <w:rPr>
          <w:b/>
          <w:bCs/>
          <w:iCs/>
          <w:sz w:val="18"/>
          <w:szCs w:val="16"/>
          <w:bdr w:val="none" w:sz="0" w:space="0" w:color="auto" w:frame="1"/>
        </w:rPr>
        <w:t>« https://ec.europa.eu/info/law/better-regulation/have-your-say/initiatives_fr?text=permis%20de%20conduire ».</w:t>
      </w:r>
    </w:p>
    <w:p w:rsidR="00E27E46" w:rsidRDefault="00166CDA" w:rsidP="00D56C49">
      <w:pPr>
        <w:jc w:val="both"/>
        <w:rPr>
          <w:bCs/>
          <w:iCs/>
          <w:sz w:val="18"/>
          <w:szCs w:val="16"/>
          <w:bdr w:val="none" w:sz="0" w:space="0" w:color="auto" w:frame="1"/>
        </w:rPr>
      </w:pPr>
      <w:r>
        <w:rPr>
          <w:bCs/>
          <w:iCs/>
          <w:sz w:val="18"/>
          <w:szCs w:val="16"/>
          <w:bdr w:val="none" w:sz="0" w:space="0" w:color="auto" w:frame="1"/>
        </w:rPr>
        <w:t xml:space="preserve">En outre, </w:t>
      </w:r>
      <w:r w:rsidR="00FE7F7D">
        <w:rPr>
          <w:bCs/>
          <w:iCs/>
          <w:sz w:val="18"/>
          <w:szCs w:val="16"/>
          <w:bdr w:val="none" w:sz="0" w:space="0" w:color="auto" w:frame="1"/>
        </w:rPr>
        <w:t>une p</w:t>
      </w:r>
      <w:r w:rsidR="00E27E46">
        <w:rPr>
          <w:bCs/>
          <w:iCs/>
          <w:sz w:val="18"/>
          <w:szCs w:val="16"/>
          <w:bdr w:val="none" w:sz="0" w:space="0" w:color="auto" w:frame="1"/>
        </w:rPr>
        <w:t xml:space="preserve">laquette sera produite sur le site www.FFACCC.info </w:t>
      </w:r>
      <w:r w:rsidR="00FE7F7D">
        <w:rPr>
          <w:bCs/>
          <w:iCs/>
          <w:sz w:val="18"/>
          <w:szCs w:val="16"/>
          <w:bdr w:val="none" w:sz="0" w:space="0" w:color="auto" w:frame="1"/>
        </w:rPr>
        <w:t>visant à comprendre l’Europe, ses institutions, la composition actuelle du Parlement</w:t>
      </w:r>
      <w:r w:rsidR="00AB7BAE">
        <w:rPr>
          <w:bCs/>
          <w:iCs/>
          <w:sz w:val="18"/>
          <w:szCs w:val="16"/>
          <w:bdr w:val="none" w:sz="0" w:space="0" w:color="auto" w:frame="1"/>
        </w:rPr>
        <w:t xml:space="preserve"> et, in fine, </w:t>
      </w:r>
      <w:r w:rsidR="00AB7BAE" w:rsidRPr="00E27E46">
        <w:rPr>
          <w:b/>
          <w:bCs/>
          <w:iCs/>
          <w:sz w:val="18"/>
          <w:szCs w:val="16"/>
          <w:bdr w:val="none" w:sz="0" w:space="0" w:color="auto" w:frame="1"/>
        </w:rPr>
        <w:t xml:space="preserve">la liste </w:t>
      </w:r>
      <w:r w:rsidR="006F48A7" w:rsidRPr="00E27E46">
        <w:rPr>
          <w:b/>
          <w:bCs/>
          <w:iCs/>
          <w:sz w:val="18"/>
          <w:szCs w:val="16"/>
          <w:bdr w:val="none" w:sz="0" w:space="0" w:color="auto" w:frame="1"/>
        </w:rPr>
        <w:t>des élus</w:t>
      </w:r>
      <w:r w:rsidR="006F48A7">
        <w:rPr>
          <w:bCs/>
          <w:iCs/>
          <w:sz w:val="18"/>
          <w:szCs w:val="16"/>
          <w:bdr w:val="none" w:sz="0" w:space="0" w:color="auto" w:frame="1"/>
        </w:rPr>
        <w:t xml:space="preserve"> siégeant </w:t>
      </w:r>
      <w:r w:rsidR="00E27E46">
        <w:rPr>
          <w:bCs/>
          <w:iCs/>
          <w:sz w:val="18"/>
          <w:szCs w:val="16"/>
          <w:bdr w:val="none" w:sz="0" w:space="0" w:color="auto" w:frame="1"/>
        </w:rPr>
        <w:t xml:space="preserve">au nom de la France </w:t>
      </w:r>
      <w:r w:rsidR="006F48A7">
        <w:rPr>
          <w:bCs/>
          <w:iCs/>
          <w:sz w:val="18"/>
          <w:szCs w:val="16"/>
          <w:bdr w:val="none" w:sz="0" w:space="0" w:color="auto" w:frame="1"/>
        </w:rPr>
        <w:t>dans les commissions spéciales du Parlement européen : Transport-Tourisme, Liberté et Justice,  Agriculture</w:t>
      </w:r>
      <w:r w:rsidR="00FE7F7D">
        <w:rPr>
          <w:bCs/>
          <w:iCs/>
          <w:sz w:val="18"/>
          <w:szCs w:val="16"/>
          <w:bdr w:val="none" w:sz="0" w:space="0" w:color="auto" w:frame="1"/>
        </w:rPr>
        <w:t xml:space="preserve"> </w:t>
      </w:r>
      <w:r w:rsidR="006F48A7">
        <w:rPr>
          <w:bCs/>
          <w:iCs/>
          <w:sz w:val="18"/>
          <w:szCs w:val="16"/>
          <w:bdr w:val="none" w:sz="0" w:space="0" w:color="auto" w:frame="1"/>
        </w:rPr>
        <w:t>et Développement Rural.</w:t>
      </w:r>
      <w:r w:rsidR="00E27E46">
        <w:rPr>
          <w:bCs/>
          <w:iCs/>
          <w:sz w:val="18"/>
          <w:szCs w:val="16"/>
          <w:bdr w:val="none" w:sz="0" w:space="0" w:color="auto" w:frame="1"/>
        </w:rPr>
        <w:t xml:space="preserve"> </w:t>
      </w:r>
    </w:p>
    <w:p w:rsidR="00166CDA" w:rsidRDefault="00E27E46" w:rsidP="00D56C49">
      <w:pPr>
        <w:jc w:val="both"/>
        <w:rPr>
          <w:b/>
          <w:bCs/>
          <w:iCs/>
          <w:sz w:val="18"/>
          <w:szCs w:val="16"/>
          <w:bdr w:val="none" w:sz="0" w:space="0" w:color="auto" w:frame="1"/>
        </w:rPr>
      </w:pPr>
      <w:r w:rsidRPr="00E27E46">
        <w:rPr>
          <w:b/>
          <w:bCs/>
          <w:iCs/>
          <w:sz w:val="18"/>
          <w:szCs w:val="16"/>
          <w:bdr w:val="none" w:sz="0" w:space="0" w:color="auto" w:frame="1"/>
        </w:rPr>
        <w:t xml:space="preserve">Vous trouverez les noms des élus, </w:t>
      </w:r>
      <w:proofErr w:type="gramStart"/>
      <w:r w:rsidRPr="00E27E46">
        <w:rPr>
          <w:b/>
          <w:bCs/>
          <w:iCs/>
          <w:sz w:val="18"/>
          <w:szCs w:val="16"/>
          <w:bdr w:val="none" w:sz="0" w:space="0" w:color="auto" w:frame="1"/>
        </w:rPr>
        <w:t>leurs numéro</w:t>
      </w:r>
      <w:proofErr w:type="gramEnd"/>
      <w:r w:rsidRPr="00E27E46">
        <w:rPr>
          <w:b/>
          <w:bCs/>
          <w:iCs/>
          <w:sz w:val="18"/>
          <w:szCs w:val="16"/>
          <w:bdr w:val="none" w:sz="0" w:space="0" w:color="auto" w:frame="1"/>
        </w:rPr>
        <w:t xml:space="preserve"> de téléphone à Bruxelles et Strasbourg, ainsi que leur adresse électronique. </w:t>
      </w:r>
    </w:p>
    <w:p w:rsidR="00E27E46" w:rsidRPr="00E27E46" w:rsidRDefault="00E27E46" w:rsidP="00E27E46">
      <w:pPr>
        <w:jc w:val="center"/>
        <w:rPr>
          <w:b/>
          <w:bCs/>
          <w:iCs/>
          <w:color w:val="FF0000"/>
          <w:sz w:val="28"/>
          <w:szCs w:val="16"/>
          <w:bdr w:val="none" w:sz="0" w:space="0" w:color="auto" w:frame="1"/>
        </w:rPr>
      </w:pPr>
      <w:r w:rsidRPr="00E27E46">
        <w:rPr>
          <w:b/>
          <w:bCs/>
          <w:iCs/>
          <w:color w:val="FF0000"/>
          <w:sz w:val="24"/>
          <w:szCs w:val="16"/>
          <w:bdr w:val="none" w:sz="0" w:space="0" w:color="auto" w:frame="1"/>
        </w:rPr>
        <w:t>A vous de jouer !</w:t>
      </w:r>
    </w:p>
    <w:p w:rsidR="00AC497C" w:rsidRPr="00860E60" w:rsidRDefault="00AC497C">
      <w:pPr>
        <w:rPr>
          <w:bCs/>
          <w:iCs/>
          <w:color w:val="1F497D"/>
          <w:szCs w:val="16"/>
          <w:bdr w:val="none" w:sz="0" w:space="0" w:color="auto" w:frame="1"/>
        </w:rPr>
      </w:pPr>
    </w:p>
    <w:p w:rsidR="00860E60" w:rsidRPr="00860E60" w:rsidRDefault="00860E60">
      <w:pPr>
        <w:rPr>
          <w:sz w:val="20"/>
        </w:rPr>
      </w:pPr>
    </w:p>
    <w:sectPr w:rsidR="00860E60" w:rsidRPr="00860E60" w:rsidSect="00EA242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C8F" w:rsidRDefault="008D5C8F" w:rsidP="00860E60">
      <w:pPr>
        <w:spacing w:after="0" w:line="240" w:lineRule="auto"/>
      </w:pPr>
      <w:r>
        <w:separator/>
      </w:r>
    </w:p>
  </w:endnote>
  <w:endnote w:type="continuationSeparator" w:id="0">
    <w:p w:rsidR="008D5C8F" w:rsidRDefault="008D5C8F" w:rsidP="00860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C8F" w:rsidRDefault="008D5C8F" w:rsidP="00860E60">
      <w:pPr>
        <w:spacing w:after="0" w:line="240" w:lineRule="auto"/>
      </w:pPr>
      <w:r>
        <w:separator/>
      </w:r>
    </w:p>
  </w:footnote>
  <w:footnote w:type="continuationSeparator" w:id="0">
    <w:p w:rsidR="008D5C8F" w:rsidRDefault="008D5C8F" w:rsidP="00860E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E60" w:rsidRDefault="00860E60">
    <w:pPr>
      <w:pStyle w:val="En-tte"/>
    </w:pPr>
    <w:r w:rsidRPr="00297815">
      <w:rPr>
        <w:b/>
        <w:bCs/>
        <w:i/>
        <w:iCs/>
        <w:color w:val="FF0000"/>
        <w:szCs w:val="20"/>
        <w:bdr w:val="none" w:sz="0" w:space="0" w:color="auto" w:frame="1"/>
      </w:rPr>
      <w:t>F</w:t>
    </w:r>
    <w:r w:rsidRPr="00297815">
      <w:rPr>
        <w:b/>
        <w:bCs/>
        <w:i/>
        <w:iCs/>
        <w:color w:val="1F497D"/>
        <w:szCs w:val="20"/>
        <w:bdr w:val="none" w:sz="0" w:space="0" w:color="auto" w:frame="1"/>
      </w:rPr>
      <w:t xml:space="preserve">édération </w:t>
    </w:r>
    <w:r w:rsidRPr="00297815">
      <w:rPr>
        <w:b/>
        <w:bCs/>
        <w:i/>
        <w:iCs/>
        <w:color w:val="FF0000"/>
        <w:szCs w:val="20"/>
        <w:bdr w:val="none" w:sz="0" w:space="0" w:color="auto" w:frame="1"/>
      </w:rPr>
      <w:t>I</w:t>
    </w:r>
    <w:r w:rsidRPr="00297815">
      <w:rPr>
        <w:b/>
        <w:bCs/>
        <w:i/>
        <w:iCs/>
        <w:color w:val="1F497D"/>
        <w:szCs w:val="20"/>
        <w:bdr w:val="none" w:sz="0" w:space="0" w:color="auto" w:frame="1"/>
      </w:rPr>
      <w:t>nternationale</w:t>
    </w:r>
    <w:r w:rsidRPr="00297815">
      <w:rPr>
        <w:b/>
        <w:bCs/>
        <w:i/>
        <w:iCs/>
        <w:color w:val="FF0000"/>
        <w:szCs w:val="20"/>
        <w:bdr w:val="none" w:sz="0" w:space="0" w:color="auto" w:frame="1"/>
      </w:rPr>
      <w:t xml:space="preserve"> </w:t>
    </w:r>
    <w:r w:rsidRPr="00297815">
      <w:rPr>
        <w:b/>
        <w:bCs/>
        <w:i/>
        <w:iCs/>
        <w:color w:val="17365D"/>
        <w:szCs w:val="20"/>
        <w:bdr w:val="none" w:sz="0" w:space="0" w:color="auto" w:frame="1"/>
      </w:rPr>
      <w:t>des</w:t>
    </w:r>
    <w:r w:rsidRPr="00297815">
      <w:rPr>
        <w:b/>
        <w:bCs/>
        <w:i/>
        <w:iCs/>
        <w:color w:val="1F497D"/>
        <w:szCs w:val="20"/>
        <w:bdr w:val="none" w:sz="0" w:space="0" w:color="auto" w:frame="1"/>
      </w:rPr>
      <w:t xml:space="preserve"> </w:t>
    </w:r>
    <w:r w:rsidRPr="00297815">
      <w:rPr>
        <w:b/>
        <w:bCs/>
        <w:i/>
        <w:iCs/>
        <w:color w:val="FF0000"/>
        <w:szCs w:val="20"/>
        <w:bdr w:val="none" w:sz="0" w:space="0" w:color="auto" w:frame="1"/>
      </w:rPr>
      <w:t>C</w:t>
    </w:r>
    <w:r w:rsidRPr="00297815">
      <w:rPr>
        <w:b/>
        <w:bCs/>
        <w:i/>
        <w:iCs/>
        <w:color w:val="1F497D"/>
        <w:szCs w:val="20"/>
        <w:bdr w:val="none" w:sz="0" w:space="0" w:color="auto" w:frame="1"/>
      </w:rPr>
      <w:t xml:space="preserve">lubs de  </w:t>
    </w:r>
    <w:r w:rsidRPr="00297815">
      <w:rPr>
        <w:b/>
        <w:bCs/>
        <w:i/>
        <w:iCs/>
        <w:color w:val="FF0000"/>
        <w:szCs w:val="20"/>
        <w:bdr w:val="none" w:sz="0" w:space="0" w:color="auto" w:frame="1"/>
      </w:rPr>
      <w:t>M</w:t>
    </w:r>
    <w:r w:rsidRPr="00297815">
      <w:rPr>
        <w:b/>
        <w:bCs/>
        <w:i/>
        <w:iCs/>
        <w:color w:val="1F497D"/>
        <w:szCs w:val="20"/>
        <w:bdr w:val="none" w:sz="0" w:space="0" w:color="auto" w:frame="1"/>
      </w:rPr>
      <w:t>otor-homes</w:t>
    </w:r>
    <w:r w:rsidRPr="00297815">
      <w:rPr>
        <w:b/>
        <w:bCs/>
        <w:i/>
        <w:iCs/>
        <w:color w:val="FF0000"/>
        <w:szCs w:val="20"/>
        <w:bdr w:val="none" w:sz="0" w:space="0" w:color="auto" w:frame="1"/>
      </w:rPr>
      <w:t xml:space="preserve"> </w:t>
    </w:r>
    <w:r w:rsidRPr="00297815">
      <w:rPr>
        <w:b/>
        <w:bCs/>
        <w:i/>
        <w:iCs/>
        <w:color w:val="1F497D"/>
        <w:sz w:val="20"/>
        <w:szCs w:val="16"/>
        <w:bdr w:val="none" w:sz="0" w:space="0" w:color="auto" w:frame="1"/>
      </w:rPr>
      <w:t>aisbl</w:t>
    </w:r>
    <w:r w:rsidRPr="00297815">
      <w:rPr>
        <w:b/>
        <w:bCs/>
        <w:i/>
        <w:iCs/>
        <w:color w:val="1F497D"/>
        <w:sz w:val="20"/>
        <w:szCs w:val="16"/>
        <w:bdr w:val="none" w:sz="0" w:space="0" w:color="auto" w:frame="1"/>
      </w:rPr>
      <w:tab/>
    </w:r>
    <w:r>
      <w:rPr>
        <w:b/>
        <w:bCs/>
        <w:i/>
        <w:iCs/>
        <w:color w:val="1F497D"/>
        <w:sz w:val="16"/>
        <w:szCs w:val="16"/>
        <w:bdr w:val="none" w:sz="0" w:space="0" w:color="auto" w:frame="1"/>
      </w:rPr>
      <w:tab/>
    </w:r>
    <w:r>
      <w:rPr>
        <w:b/>
        <w:bCs/>
        <w:i/>
        <w:iCs/>
        <w:color w:val="1F497D"/>
        <w:sz w:val="16"/>
        <w:szCs w:val="16"/>
        <w:bdr w:val="none" w:sz="0" w:space="0" w:color="auto" w:frame="1"/>
      </w:rPr>
      <w:tab/>
    </w:r>
    <w:r>
      <w:rPr>
        <w:b/>
        <w:bCs/>
        <w:i/>
        <w:iCs/>
        <w:color w:val="1F497D"/>
        <w:sz w:val="16"/>
        <w:szCs w:val="16"/>
        <w:bdr w:val="none" w:sz="0" w:space="0" w:color="auto" w:frame="1"/>
      </w:rPr>
      <w:tab/>
    </w:r>
    <w:r w:rsidRPr="00297815">
      <w:rPr>
        <w:b/>
        <w:bCs/>
        <w:i/>
        <w:iCs/>
        <w:color w:val="1F497D"/>
        <w:sz w:val="32"/>
        <w:szCs w:val="16"/>
        <w:bdr w:val="none" w:sz="0" w:space="0" w:color="auto" w:frame="1"/>
      </w:rPr>
      <w:t>AG de la FFACCC, Autun Novembre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27FD8"/>
    <w:multiLevelType w:val="hybridMultilevel"/>
    <w:tmpl w:val="B66256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860E60"/>
    <w:rsid w:val="000175C4"/>
    <w:rsid w:val="00166CDA"/>
    <w:rsid w:val="00253019"/>
    <w:rsid w:val="002B6F89"/>
    <w:rsid w:val="002F52B9"/>
    <w:rsid w:val="004A7268"/>
    <w:rsid w:val="00611AF8"/>
    <w:rsid w:val="006F48A7"/>
    <w:rsid w:val="0078591B"/>
    <w:rsid w:val="00860E60"/>
    <w:rsid w:val="008A025D"/>
    <w:rsid w:val="008D5C8F"/>
    <w:rsid w:val="00916287"/>
    <w:rsid w:val="00922B36"/>
    <w:rsid w:val="00973FAD"/>
    <w:rsid w:val="00A6483E"/>
    <w:rsid w:val="00AB7BAE"/>
    <w:rsid w:val="00AC497C"/>
    <w:rsid w:val="00C42FA5"/>
    <w:rsid w:val="00C65DD1"/>
    <w:rsid w:val="00C97CDC"/>
    <w:rsid w:val="00CD37B8"/>
    <w:rsid w:val="00D10AEA"/>
    <w:rsid w:val="00D56C49"/>
    <w:rsid w:val="00E27E46"/>
    <w:rsid w:val="00E82658"/>
    <w:rsid w:val="00EA242D"/>
    <w:rsid w:val="00F62EBF"/>
    <w:rsid w:val="00FE7F7D"/>
    <w:rsid w:val="00FF1B9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60E6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60E60"/>
  </w:style>
  <w:style w:type="paragraph" w:styleId="Pieddepage">
    <w:name w:val="footer"/>
    <w:basedOn w:val="Normal"/>
    <w:link w:val="PieddepageCar"/>
    <w:uiPriority w:val="99"/>
    <w:semiHidden/>
    <w:unhideWhenUsed/>
    <w:rsid w:val="00860E6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60E60"/>
  </w:style>
  <w:style w:type="paragraph" w:styleId="Paragraphedeliste">
    <w:name w:val="List Paragraph"/>
    <w:basedOn w:val="Normal"/>
    <w:uiPriority w:val="34"/>
    <w:qFormat/>
    <w:rsid w:val="00AC49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2</Pages>
  <Words>1323</Words>
  <Characters>7280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mvdc</dc:creator>
  <cp:keywords/>
  <dc:description/>
  <cp:lastModifiedBy>mvdc</cp:lastModifiedBy>
  <cp:revision>3</cp:revision>
  <dcterms:created xsi:type="dcterms:W3CDTF">2021-11-20T17:29:00Z</dcterms:created>
  <dcterms:modified xsi:type="dcterms:W3CDTF">2021-11-22T11:52:00Z</dcterms:modified>
</cp:coreProperties>
</file>